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B9" w:rsidRDefault="00323BB9" w:rsidP="00323BB9">
      <w:pPr>
        <w:spacing w:line="400" w:lineRule="exact"/>
        <w:rPr>
          <w:rFonts w:ascii="Times New Roman" w:eastAsia="方正黑体_GBK" w:hAnsi="Times New Roman" w:cs="Times New Roman"/>
          <w:color w:val="000000"/>
          <w:sz w:val="32"/>
          <w:szCs w:val="24"/>
        </w:rPr>
      </w:pPr>
      <w:r w:rsidRPr="00323BB9">
        <w:rPr>
          <w:rFonts w:ascii="Times New Roman" w:eastAsia="方正黑体_GBK" w:hAnsi="Times New Roman" w:cs="Times New Roman" w:hint="eastAsia"/>
          <w:color w:val="000000"/>
          <w:sz w:val="32"/>
          <w:szCs w:val="24"/>
        </w:rPr>
        <w:t>附件</w:t>
      </w:r>
      <w:r w:rsidRPr="00323BB9">
        <w:rPr>
          <w:rFonts w:ascii="Times New Roman" w:eastAsia="方正黑体_GBK" w:hAnsi="Times New Roman" w:cs="Times New Roman" w:hint="eastAsia"/>
          <w:color w:val="000000"/>
          <w:sz w:val="32"/>
          <w:szCs w:val="24"/>
        </w:rPr>
        <w:t>4</w:t>
      </w:r>
    </w:p>
    <w:p w:rsidR="00323BB9" w:rsidRPr="00323BB9" w:rsidRDefault="00323BB9" w:rsidP="00323BB9">
      <w:pPr>
        <w:spacing w:line="400" w:lineRule="exact"/>
        <w:rPr>
          <w:rFonts w:ascii="Times New Roman" w:eastAsia="方正黑体_GBK" w:hAnsi="Times New Roman" w:cs="Times New Roman" w:hint="eastAsia"/>
          <w:color w:val="000000"/>
          <w:sz w:val="32"/>
          <w:szCs w:val="24"/>
        </w:rPr>
      </w:pPr>
    </w:p>
    <w:p w:rsidR="00323BB9" w:rsidRPr="00323BB9" w:rsidRDefault="00323BB9" w:rsidP="00323BB9">
      <w:pPr>
        <w:spacing w:line="560" w:lineRule="exact"/>
        <w:jc w:val="center"/>
        <w:rPr>
          <w:rFonts w:ascii="仿宋_GB2312" w:eastAsia="仿宋_GB2312" w:hAnsi="Times New Roman" w:cs="Times New Roman"/>
          <w:b/>
          <w:sz w:val="44"/>
          <w:szCs w:val="44"/>
        </w:rPr>
      </w:pPr>
      <w:bookmarkStart w:id="0" w:name="_GoBack"/>
      <w:r w:rsidRPr="00323BB9">
        <w:rPr>
          <w:rFonts w:ascii="仿宋_GB2312" w:eastAsia="仿宋_GB2312" w:hAnsi="Times New Roman" w:cs="Times New Roman" w:hint="eastAsia"/>
          <w:b/>
          <w:sz w:val="44"/>
          <w:szCs w:val="44"/>
        </w:rPr>
        <w:t>江苏省机关事业单位工勤技能岗位</w:t>
      </w:r>
    </w:p>
    <w:p w:rsidR="00323BB9" w:rsidRDefault="00323BB9" w:rsidP="00323BB9">
      <w:pPr>
        <w:spacing w:line="560" w:lineRule="exact"/>
        <w:jc w:val="center"/>
        <w:rPr>
          <w:rFonts w:ascii="仿宋_GB2312" w:eastAsia="仿宋_GB2312" w:hAnsi="Times New Roman" w:cs="Times New Roman"/>
          <w:b/>
          <w:sz w:val="44"/>
          <w:szCs w:val="44"/>
        </w:rPr>
      </w:pPr>
      <w:r w:rsidRPr="00323BB9">
        <w:rPr>
          <w:rFonts w:ascii="仿宋_GB2312" w:eastAsia="仿宋_GB2312" w:hAnsi="Times New Roman" w:cs="Times New Roman" w:hint="eastAsia"/>
          <w:b/>
          <w:sz w:val="44"/>
          <w:szCs w:val="44"/>
        </w:rPr>
        <w:t>高级技师、技师量化考评细则</w:t>
      </w:r>
    </w:p>
    <w:bookmarkEnd w:id="0"/>
    <w:p w:rsidR="00323BB9" w:rsidRPr="00323BB9" w:rsidRDefault="00323BB9" w:rsidP="00323BB9">
      <w:pPr>
        <w:spacing w:line="560" w:lineRule="exact"/>
        <w:jc w:val="center"/>
        <w:rPr>
          <w:rFonts w:ascii="仿宋_GB2312" w:eastAsia="仿宋_GB2312" w:hAnsi="Times New Roman" w:cs="Times New Roman" w:hint="eastAsia"/>
          <w:b/>
          <w:sz w:val="44"/>
          <w:szCs w:val="44"/>
        </w:rPr>
      </w:pP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高级技师、技师综合评审以申报人员量化考评为依据，为规范量化考评行为，统一评价尺度，现制定量化考评细则如下：</w:t>
      </w:r>
    </w:p>
    <w:p w:rsidR="00323BB9" w:rsidRPr="00323BB9" w:rsidRDefault="00323BB9" w:rsidP="00323BB9">
      <w:pPr>
        <w:ind w:firstLineChars="200" w:firstLine="703"/>
        <w:rPr>
          <w:rFonts w:ascii="Calibri" w:eastAsia="宋体" w:hAnsi="Calibri" w:cs="Times New Roman"/>
          <w:b/>
          <w:spacing w:val="15"/>
          <w:sz w:val="32"/>
          <w:szCs w:val="32"/>
        </w:rPr>
      </w:pPr>
      <w:r w:rsidRPr="00323BB9">
        <w:rPr>
          <w:rFonts w:ascii="Calibri" w:eastAsia="宋体" w:hAnsi="Calibri" w:cs="Times New Roman" w:hint="eastAsia"/>
          <w:b/>
          <w:spacing w:val="15"/>
          <w:sz w:val="32"/>
          <w:szCs w:val="32"/>
        </w:rPr>
        <w:t>一、日常表现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日常表现权重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15%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（满分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15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分）。由用人单位提供相关材</w:t>
      </w: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料，省、市工</w:t>
      </w:r>
      <w:proofErr w:type="gramStart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考部门</w:t>
      </w:r>
      <w:proofErr w:type="gramEnd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组织审核。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评价标准及分值：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（一）年度考核等次为“优秀”的，一次记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2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分；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（二）年度考核被通报表扬的，一次记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1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分；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（三）被用人单位党委（党组）或其上级党委（党组）评为优秀共产党员的，一次记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1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分；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（四）被县、市（区）及以上党委政府评为先进工作者、先进个人之一的，一次记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2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分；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（五）在工种（岗位）上通过创新革新发明，取得国家专利证书的，一次记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2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分；获得省级以上科技进步奖的，一次记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5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分。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同</w:t>
      </w:r>
      <w:proofErr w:type="gramStart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一</w:t>
      </w:r>
      <w:proofErr w:type="gramEnd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年度因同一事项获得多项计分的，按最高分项计分，不重复计分。</w:t>
      </w:r>
    </w:p>
    <w:p w:rsidR="00323BB9" w:rsidRPr="00323BB9" w:rsidRDefault="00323BB9" w:rsidP="00323BB9">
      <w:pPr>
        <w:ind w:firstLineChars="200" w:firstLine="703"/>
        <w:rPr>
          <w:rFonts w:ascii="Calibri" w:eastAsia="宋体" w:hAnsi="Calibri" w:cs="Times New Roman"/>
          <w:b/>
          <w:spacing w:val="15"/>
          <w:sz w:val="32"/>
          <w:szCs w:val="32"/>
        </w:rPr>
      </w:pPr>
      <w:r w:rsidRPr="00323BB9">
        <w:rPr>
          <w:rFonts w:ascii="Calibri" w:eastAsia="宋体" w:hAnsi="Calibri" w:cs="Times New Roman" w:hint="eastAsia"/>
          <w:b/>
          <w:spacing w:val="15"/>
          <w:sz w:val="32"/>
          <w:szCs w:val="32"/>
        </w:rPr>
        <w:t>二、技能类荣誉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lastRenderedPageBreak/>
        <w:t>技能类荣誉权重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5%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（满分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5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分）。由用人单位提供相关材</w:t>
      </w: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料，省、市工</w:t>
      </w:r>
      <w:proofErr w:type="gramStart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考部门</w:t>
      </w:r>
      <w:proofErr w:type="gramEnd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组织审核。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评价标准及分值：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（一）获得省级以上技术能手称号、五一劳动奖章称号、劳动模范称号之一的，一次记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3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分；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（二）设区市授予技术能手称号的，一次记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2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分；</w:t>
      </w:r>
    </w:p>
    <w:p w:rsid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（三）县、市（区）授予技术能手称号的，一次记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1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分。</w:t>
      </w:r>
    </w:p>
    <w:p w:rsidR="00323BB9" w:rsidRPr="00323BB9" w:rsidRDefault="00323BB9" w:rsidP="00323BB9">
      <w:pPr>
        <w:ind w:leftChars="200" w:left="420" w:firstLineChars="100" w:firstLine="31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以上按最高分项计分，不重复计分。</w:t>
      </w:r>
    </w:p>
    <w:p w:rsidR="00323BB9" w:rsidRPr="00323BB9" w:rsidRDefault="00323BB9" w:rsidP="00323BB9">
      <w:pPr>
        <w:ind w:firstLineChars="200" w:firstLine="703"/>
        <w:rPr>
          <w:rFonts w:ascii="Calibri" w:eastAsia="宋体" w:hAnsi="Calibri" w:cs="Times New Roman"/>
          <w:b/>
          <w:spacing w:val="15"/>
          <w:sz w:val="32"/>
          <w:szCs w:val="32"/>
        </w:rPr>
      </w:pPr>
      <w:r w:rsidRPr="00323BB9">
        <w:rPr>
          <w:rFonts w:ascii="Calibri" w:eastAsia="宋体" w:hAnsi="Calibri" w:cs="Times New Roman" w:hint="eastAsia"/>
          <w:b/>
          <w:spacing w:val="15"/>
          <w:sz w:val="32"/>
          <w:szCs w:val="32"/>
        </w:rPr>
        <w:t>三、能力评价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能力评价包含理论考试、技能操作考核、论文答辩和</w:t>
      </w:r>
      <w:proofErr w:type="gramStart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述课</w:t>
      </w:r>
      <w:proofErr w:type="gramEnd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，由省工考办统一组织。能力评价权重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70%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（满分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70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分），其中</w:t>
      </w: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理论考试权重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30%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（满分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30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分）、技能操作考核权重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30%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（满</w:t>
      </w: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分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30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分）、论文答辩权重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5%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（满分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5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分）、</w:t>
      </w:r>
      <w:proofErr w:type="gramStart"/>
      <w:r w:rsidRPr="00323BB9">
        <w:rPr>
          <w:rFonts w:ascii="Calibri" w:eastAsia="宋体" w:hAnsi="Calibri" w:cs="Times New Roman"/>
          <w:spacing w:val="15"/>
          <w:sz w:val="28"/>
          <w:szCs w:val="28"/>
        </w:rPr>
        <w:t>述课权重</w:t>
      </w:r>
      <w:proofErr w:type="gramEnd"/>
      <w:r w:rsidRPr="00323BB9">
        <w:rPr>
          <w:rFonts w:ascii="Calibri" w:eastAsia="宋体" w:hAnsi="Calibri" w:cs="Times New Roman"/>
          <w:spacing w:val="15"/>
          <w:sz w:val="28"/>
          <w:szCs w:val="28"/>
        </w:rPr>
        <w:t>5%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（满</w:t>
      </w: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分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5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分）。申报人员四门考核成绩分别按权重比计分后，合计得</w:t>
      </w: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分为能力评价得分。</w:t>
      </w:r>
    </w:p>
    <w:p w:rsidR="00323BB9" w:rsidRPr="00323BB9" w:rsidRDefault="00323BB9" w:rsidP="00323BB9">
      <w:pPr>
        <w:ind w:firstLineChars="200" w:firstLine="703"/>
        <w:rPr>
          <w:rFonts w:ascii="Calibri" w:eastAsia="宋体" w:hAnsi="Calibri" w:cs="Times New Roman"/>
          <w:b/>
          <w:spacing w:val="15"/>
          <w:sz w:val="32"/>
          <w:szCs w:val="32"/>
        </w:rPr>
      </w:pPr>
      <w:r w:rsidRPr="00323BB9">
        <w:rPr>
          <w:rFonts w:ascii="Calibri" w:eastAsia="宋体" w:hAnsi="Calibri" w:cs="Times New Roman" w:hint="eastAsia"/>
          <w:b/>
          <w:spacing w:val="15"/>
          <w:sz w:val="32"/>
          <w:szCs w:val="32"/>
        </w:rPr>
        <w:t>四、继续教育评价</w:t>
      </w:r>
    </w:p>
    <w:p w:rsidR="00323BB9" w:rsidRPr="00323BB9" w:rsidRDefault="00323BB9" w:rsidP="00323BB9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继续教育评价权重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10%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（满分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10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分），由省工考办统筹指</w:t>
      </w: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导，市工</w:t>
      </w:r>
      <w:proofErr w:type="gramStart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考部门</w:t>
      </w:r>
      <w:proofErr w:type="gramEnd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组织实施。</w:t>
      </w:r>
    </w:p>
    <w:p w:rsidR="00323BB9" w:rsidRPr="00323BB9" w:rsidRDefault="00323BB9" w:rsidP="009479CA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评价标准及分值：</w:t>
      </w:r>
    </w:p>
    <w:p w:rsidR="00323BB9" w:rsidRPr="00323BB9" w:rsidRDefault="00323BB9" w:rsidP="009479CA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（一）申报高级技师和技师人员的继续教育评价起算时间为申报前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5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年以来学习情况；</w:t>
      </w:r>
    </w:p>
    <w:p w:rsidR="00323BB9" w:rsidRPr="00323BB9" w:rsidRDefault="00323BB9" w:rsidP="009479CA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（二）每年参加继续教育培训</w:t>
      </w:r>
      <w:proofErr w:type="gramStart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且考核</w:t>
      </w:r>
      <w:proofErr w:type="gramEnd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合格记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2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分，连续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5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lastRenderedPageBreak/>
        <w:t>年</w:t>
      </w: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参加继续教育培训</w:t>
      </w:r>
      <w:proofErr w:type="gramStart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且考核</w:t>
      </w:r>
      <w:proofErr w:type="gramEnd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合格记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10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分。</w:t>
      </w:r>
    </w:p>
    <w:p w:rsidR="00323BB9" w:rsidRPr="00323BB9" w:rsidRDefault="00323BB9" w:rsidP="009479CA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（三）申报等级工人员的继续教育培训按原规定执行。</w:t>
      </w:r>
    </w:p>
    <w:p w:rsidR="00323BB9" w:rsidRPr="009479CA" w:rsidRDefault="00323BB9" w:rsidP="009479CA">
      <w:pPr>
        <w:ind w:firstLineChars="200" w:firstLine="703"/>
        <w:rPr>
          <w:rFonts w:ascii="Calibri" w:eastAsia="宋体" w:hAnsi="Calibri" w:cs="Times New Roman"/>
          <w:b/>
          <w:spacing w:val="15"/>
          <w:sz w:val="32"/>
          <w:szCs w:val="32"/>
        </w:rPr>
      </w:pPr>
      <w:r w:rsidRPr="009479CA">
        <w:rPr>
          <w:rFonts w:ascii="Calibri" w:eastAsia="宋体" w:hAnsi="Calibri" w:cs="Times New Roman" w:hint="eastAsia"/>
          <w:b/>
          <w:spacing w:val="15"/>
          <w:sz w:val="32"/>
          <w:szCs w:val="32"/>
        </w:rPr>
        <w:t>五、相关要求</w:t>
      </w:r>
    </w:p>
    <w:p w:rsidR="00323BB9" w:rsidRPr="00323BB9" w:rsidRDefault="00323BB9" w:rsidP="009479CA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（一）量化考评总分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100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分，包含日常表现、技能类荣誉、</w:t>
      </w: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能力评价、继续教育评价四项得分。</w:t>
      </w:r>
    </w:p>
    <w:p w:rsidR="00323BB9" w:rsidRPr="00323BB9" w:rsidRDefault="00323BB9" w:rsidP="009479CA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（二）日常表现、技能类荣誉评价起算时间，参加高级技师考评的人员，从取得技师资格时间起算；参加技师考评的人员，从取得高级工资格时间起算。</w:t>
      </w:r>
    </w:p>
    <w:p w:rsidR="00323BB9" w:rsidRPr="00323BB9" w:rsidRDefault="00323BB9" w:rsidP="009479CA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（三）有下列情形之一，不得参加申报或综合评审：近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5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年</w:t>
      </w: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年度考核未连续达到“合格”及以上等次的；在日常表现、技能类荣誉、继续教育评价中提供虚假材料的；在参加能力评价期间发生严重违纪违规行为的。</w:t>
      </w:r>
    </w:p>
    <w:p w:rsidR="0038483B" w:rsidRPr="00323BB9" w:rsidRDefault="00323BB9" w:rsidP="009479CA">
      <w:pPr>
        <w:ind w:firstLineChars="200" w:firstLine="620"/>
        <w:rPr>
          <w:rFonts w:ascii="Calibri" w:eastAsia="宋体" w:hAnsi="Calibri" w:cs="Times New Roman"/>
          <w:spacing w:val="15"/>
          <w:sz w:val="28"/>
          <w:szCs w:val="28"/>
        </w:rPr>
      </w:pP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（四）申报人员在现等级岗位期内，参加技能竞赛取得名次的，按照省人力资源社会保障厅《关于组织开展机关事业单位工勤人员技能竞赛活动的意见》（苏</w:t>
      </w:r>
      <w:proofErr w:type="gramStart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人社发</w:t>
      </w:r>
      <w:proofErr w:type="gramEnd"/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〔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2016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〕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 xml:space="preserve">377 </w:t>
      </w:r>
      <w:r w:rsidRPr="00323BB9">
        <w:rPr>
          <w:rFonts w:ascii="Calibri" w:eastAsia="宋体" w:hAnsi="Calibri" w:cs="Times New Roman"/>
          <w:spacing w:val="15"/>
          <w:sz w:val="28"/>
          <w:szCs w:val="28"/>
        </w:rPr>
        <w:t>号）精神</w:t>
      </w:r>
      <w:r w:rsidRPr="00323BB9">
        <w:rPr>
          <w:rFonts w:ascii="Calibri" w:eastAsia="宋体" w:hAnsi="Calibri" w:cs="Times New Roman" w:hint="eastAsia"/>
          <w:spacing w:val="15"/>
          <w:sz w:val="28"/>
          <w:szCs w:val="28"/>
        </w:rPr>
        <w:t>执行</w:t>
      </w:r>
      <w:r w:rsidR="009479CA">
        <w:rPr>
          <w:rFonts w:ascii="Calibri" w:eastAsia="宋体" w:hAnsi="Calibri" w:cs="Times New Roman" w:hint="eastAsia"/>
          <w:spacing w:val="15"/>
          <w:sz w:val="28"/>
          <w:szCs w:val="28"/>
        </w:rPr>
        <w:t>。</w:t>
      </w:r>
    </w:p>
    <w:sectPr w:rsidR="0038483B" w:rsidRPr="00323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B9"/>
    <w:rsid w:val="00323BB9"/>
    <w:rsid w:val="0038483B"/>
    <w:rsid w:val="0094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94821"/>
  <w15:chartTrackingRefBased/>
  <w15:docId w15:val="{67AA6AD6-573A-431A-AB73-D84EC5F8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%E8%92%8B%E6%97%AD%E4%B8%9C</dc:creator>
  <cp:keywords/>
  <dc:description/>
  <cp:lastModifiedBy>%E8%92%8B%E6%97%AD%E4%B8%9C</cp:lastModifiedBy>
  <cp:revision>1</cp:revision>
  <dcterms:created xsi:type="dcterms:W3CDTF">2022-04-10T07:52:00Z</dcterms:created>
  <dcterms:modified xsi:type="dcterms:W3CDTF">2022-04-10T08:05:00Z</dcterms:modified>
</cp:coreProperties>
</file>